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601" w:rsidRDefault="00221601" w:rsidP="00992EA6">
      <w:pPr>
        <w:pStyle w:val="Ruller4"/>
        <w:numPr>
          <w:ilvl w:val="0"/>
          <w:numId w:val="0"/>
        </w:numPr>
        <w:ind w:left="141"/>
        <w:jc w:val="center"/>
        <w:rPr>
          <w:rFonts w:ascii="FrankRuehl" w:hAnsi="FrankRuehl"/>
          <w:b/>
          <w:bCs/>
          <w:color w:val="323E4F"/>
          <w:sz w:val="36"/>
          <w:szCs w:val="36"/>
          <w:u w:val="single"/>
          <w:rtl/>
        </w:rPr>
      </w:pPr>
    </w:p>
    <w:p w:rsidR="004A536C" w:rsidRPr="00992EA6" w:rsidRDefault="00992EA6" w:rsidP="00992EA6">
      <w:pPr>
        <w:pStyle w:val="Ruller4"/>
        <w:numPr>
          <w:ilvl w:val="0"/>
          <w:numId w:val="0"/>
        </w:numPr>
        <w:ind w:left="141"/>
        <w:jc w:val="center"/>
        <w:rPr>
          <w:rFonts w:ascii="FrankRuehl" w:hAnsi="FrankRuehl" w:cs="David"/>
          <w:bCs/>
          <w:spacing w:val="0"/>
          <w:sz w:val="40"/>
          <w:szCs w:val="40"/>
          <w:u w:val="single"/>
          <w:rtl/>
        </w:rPr>
      </w:pPr>
      <w:r w:rsidRPr="00992EA6">
        <w:rPr>
          <w:rFonts w:ascii="FrankRuehl" w:hAnsi="FrankRuehl" w:hint="cs"/>
          <w:b/>
          <w:bCs/>
          <w:color w:val="323E4F"/>
          <w:sz w:val="36"/>
          <w:szCs w:val="36"/>
          <w:u w:val="single"/>
          <w:rtl/>
        </w:rPr>
        <w:t>ע"פ</w:t>
      </w:r>
      <w:r w:rsidR="004A536C" w:rsidRPr="00992EA6">
        <w:rPr>
          <w:rFonts w:ascii="FrankRuehl" w:hAnsi="FrankRuehl" w:hint="cs"/>
          <w:b/>
          <w:bCs/>
          <w:color w:val="323E4F"/>
          <w:sz w:val="36"/>
          <w:szCs w:val="36"/>
          <w:u w:val="single"/>
          <w:rtl/>
        </w:rPr>
        <w:t xml:space="preserve"> </w:t>
      </w:r>
      <w:r w:rsidRPr="00992EA6">
        <w:rPr>
          <w:rFonts w:ascii="FrankRuehl" w:hAnsi="FrankRuehl" w:hint="cs"/>
          <w:b/>
          <w:bCs/>
          <w:color w:val="323E4F"/>
          <w:sz w:val="36"/>
          <w:szCs w:val="36"/>
          <w:u w:val="single"/>
          <w:rtl/>
        </w:rPr>
        <w:t xml:space="preserve">5955/22 מדינת ישראל נגד שאול </w:t>
      </w:r>
      <w:proofErr w:type="spellStart"/>
      <w:r w:rsidRPr="00992EA6">
        <w:rPr>
          <w:rFonts w:ascii="FrankRuehl" w:hAnsi="FrankRuehl" w:hint="cs"/>
          <w:b/>
          <w:bCs/>
          <w:color w:val="323E4F"/>
          <w:sz w:val="36"/>
          <w:szCs w:val="36"/>
          <w:u w:val="single"/>
          <w:rtl/>
        </w:rPr>
        <w:t>אלוביץ</w:t>
      </w:r>
      <w:proofErr w:type="spellEnd"/>
      <w:r w:rsidRPr="00992EA6">
        <w:rPr>
          <w:rFonts w:ascii="FrankRuehl" w:hAnsi="FrankRuehl" w:hint="cs"/>
          <w:b/>
          <w:bCs/>
          <w:color w:val="323E4F"/>
          <w:sz w:val="36"/>
          <w:szCs w:val="36"/>
          <w:u w:val="single"/>
          <w:rtl/>
        </w:rPr>
        <w:t>' ואח'</w:t>
      </w:r>
    </w:p>
    <w:p w:rsidR="004A536C" w:rsidRPr="00992EA6" w:rsidRDefault="004A536C" w:rsidP="00992EA6">
      <w:pPr>
        <w:tabs>
          <w:tab w:val="left" w:pos="800"/>
        </w:tabs>
        <w:jc w:val="both"/>
        <w:rPr>
          <w:rFonts w:ascii="FrankRuehl" w:hAnsi="FrankRuehl"/>
          <w:color w:val="323E4F"/>
          <w:sz w:val="28"/>
          <w:rtl/>
        </w:rPr>
      </w:pPr>
      <w:r w:rsidRPr="00992EA6">
        <w:rPr>
          <w:rFonts w:ascii="FrankRuehl" w:hAnsi="FrankRuehl" w:hint="cs"/>
          <w:b/>
          <w:bCs/>
          <w:color w:val="323E4F"/>
          <w:sz w:val="28"/>
          <w:u w:val="single"/>
          <w:rtl/>
        </w:rPr>
        <w:t>תאריך מתן פסק הדין</w:t>
      </w:r>
      <w:r w:rsidRPr="00992EA6">
        <w:rPr>
          <w:rFonts w:cs="David" w:hint="cs"/>
          <w:sz w:val="28"/>
          <w:rtl/>
        </w:rPr>
        <w:t xml:space="preserve">: </w:t>
      </w:r>
      <w:r w:rsidR="00C02314" w:rsidRPr="00992EA6">
        <w:rPr>
          <w:rFonts w:ascii="FrankRuehl" w:hAnsi="FrankRuehl" w:hint="cs"/>
          <w:color w:val="323E4F"/>
          <w:sz w:val="28"/>
          <w:rtl/>
        </w:rPr>
        <w:t>כ"</w:t>
      </w:r>
      <w:r w:rsidR="00992EA6" w:rsidRPr="00992EA6">
        <w:rPr>
          <w:rFonts w:ascii="FrankRuehl" w:hAnsi="FrankRuehl" w:hint="cs"/>
          <w:color w:val="323E4F"/>
          <w:sz w:val="28"/>
          <w:rtl/>
        </w:rPr>
        <w:t>ד</w:t>
      </w:r>
      <w:r w:rsidR="00C02314" w:rsidRPr="00992EA6">
        <w:rPr>
          <w:rFonts w:ascii="FrankRuehl" w:hAnsi="FrankRuehl" w:hint="cs"/>
          <w:color w:val="323E4F"/>
          <w:sz w:val="28"/>
          <w:rtl/>
        </w:rPr>
        <w:t xml:space="preserve"> בתמוז </w:t>
      </w:r>
      <w:proofErr w:type="spellStart"/>
      <w:r w:rsidR="00C02314" w:rsidRPr="00992EA6">
        <w:rPr>
          <w:rFonts w:ascii="FrankRuehl" w:hAnsi="FrankRuehl" w:hint="cs"/>
          <w:color w:val="323E4F"/>
          <w:sz w:val="28"/>
          <w:rtl/>
        </w:rPr>
        <w:t>התשפ"ג</w:t>
      </w:r>
      <w:proofErr w:type="spellEnd"/>
      <w:r w:rsidR="00C02314" w:rsidRPr="00992EA6">
        <w:rPr>
          <w:rFonts w:ascii="FrankRuehl" w:hAnsi="FrankRuehl" w:hint="cs"/>
          <w:color w:val="323E4F"/>
          <w:sz w:val="28"/>
          <w:rtl/>
        </w:rPr>
        <w:t xml:space="preserve"> (1</w:t>
      </w:r>
      <w:r w:rsidR="00992EA6" w:rsidRPr="00992EA6">
        <w:rPr>
          <w:rFonts w:ascii="FrankRuehl" w:hAnsi="FrankRuehl" w:hint="cs"/>
          <w:color w:val="323E4F"/>
          <w:sz w:val="28"/>
          <w:rtl/>
        </w:rPr>
        <w:t>3</w:t>
      </w:r>
      <w:r w:rsidR="00C02314" w:rsidRPr="00992EA6">
        <w:rPr>
          <w:rFonts w:ascii="FrankRuehl" w:hAnsi="FrankRuehl" w:hint="cs"/>
          <w:color w:val="323E4F"/>
          <w:sz w:val="28"/>
          <w:rtl/>
        </w:rPr>
        <w:t>.</w:t>
      </w:r>
      <w:r w:rsidR="00992EA6" w:rsidRPr="00992EA6">
        <w:rPr>
          <w:rFonts w:ascii="FrankRuehl" w:hAnsi="FrankRuehl" w:hint="cs"/>
          <w:color w:val="323E4F"/>
          <w:sz w:val="28"/>
          <w:rtl/>
        </w:rPr>
        <w:t>0</w:t>
      </w:r>
      <w:r w:rsidR="00C02314" w:rsidRPr="00992EA6">
        <w:rPr>
          <w:rFonts w:ascii="FrankRuehl" w:hAnsi="FrankRuehl" w:hint="cs"/>
          <w:color w:val="323E4F"/>
          <w:sz w:val="28"/>
          <w:rtl/>
        </w:rPr>
        <w:t>7.2023)</w:t>
      </w:r>
    </w:p>
    <w:p w:rsidR="00783C9E" w:rsidRPr="00992EA6" w:rsidRDefault="004A536C" w:rsidP="00992EA6">
      <w:pPr>
        <w:tabs>
          <w:tab w:val="left" w:pos="800"/>
        </w:tabs>
        <w:jc w:val="both"/>
        <w:rPr>
          <w:rFonts w:ascii="FrankRuehl" w:hAnsi="FrankRuehl"/>
          <w:color w:val="323E4F"/>
          <w:sz w:val="28"/>
          <w:rtl/>
        </w:rPr>
      </w:pPr>
      <w:r w:rsidRPr="00992EA6">
        <w:rPr>
          <w:rFonts w:ascii="FrankRuehl" w:hAnsi="FrankRuehl" w:hint="cs"/>
          <w:b/>
          <w:bCs/>
          <w:color w:val="323E4F"/>
          <w:sz w:val="28"/>
          <w:u w:val="single"/>
          <w:rtl/>
        </w:rPr>
        <w:t>שופטי ההרכב</w:t>
      </w:r>
      <w:r w:rsidRPr="00992EA6">
        <w:rPr>
          <w:rFonts w:cs="David" w:hint="cs"/>
          <w:sz w:val="28"/>
          <w:rtl/>
        </w:rPr>
        <w:t xml:space="preserve">: </w:t>
      </w:r>
      <w:r w:rsidR="00992EA6" w:rsidRPr="00992EA6">
        <w:rPr>
          <w:rFonts w:ascii="FrankRuehl" w:hAnsi="FrankRuehl" w:hint="cs"/>
          <w:color w:val="323E4F"/>
          <w:sz w:val="28"/>
          <w:rtl/>
        </w:rPr>
        <w:t xml:space="preserve">השופט יצחק עמית, השופט דוד מינץ, השופטת יעל </w:t>
      </w:r>
      <w:proofErr w:type="spellStart"/>
      <w:r w:rsidR="00992EA6" w:rsidRPr="00992EA6">
        <w:rPr>
          <w:rFonts w:ascii="FrankRuehl" w:hAnsi="FrankRuehl" w:hint="cs"/>
          <w:color w:val="323E4F"/>
          <w:sz w:val="28"/>
          <w:rtl/>
        </w:rPr>
        <w:t>וילנר</w:t>
      </w:r>
      <w:proofErr w:type="spellEnd"/>
      <w:r w:rsidRPr="00992EA6">
        <w:rPr>
          <w:rFonts w:ascii="FrankRuehl" w:hAnsi="FrankRuehl" w:hint="cs"/>
          <w:color w:val="323E4F"/>
          <w:sz w:val="28"/>
          <w:rtl/>
        </w:rPr>
        <w:t xml:space="preserve">. </w:t>
      </w:r>
    </w:p>
    <w:p w:rsidR="004A536C" w:rsidRPr="00992EA6" w:rsidRDefault="004A536C" w:rsidP="00783C9E">
      <w:pPr>
        <w:pStyle w:val="Ruller41"/>
        <w:rPr>
          <w:rFonts w:ascii="David" w:hAnsi="David" w:cs="David"/>
          <w:b/>
          <w:bCs/>
          <w:sz w:val="28"/>
          <w:rtl/>
        </w:rPr>
      </w:pPr>
    </w:p>
    <w:p w:rsidR="00992EA6" w:rsidRPr="00992EA6" w:rsidRDefault="00992EA6" w:rsidP="00992EA6">
      <w:pPr>
        <w:pStyle w:val="Ruller41"/>
        <w:rPr>
          <w:rFonts w:ascii="FrankRuehl" w:hAnsi="FrankRuehl"/>
          <w:b/>
          <w:bCs/>
          <w:color w:val="323E4F"/>
          <w:sz w:val="28"/>
          <w:rtl/>
        </w:rPr>
      </w:pPr>
      <w:r w:rsidRPr="00992EA6">
        <w:rPr>
          <w:rFonts w:ascii="FrankRuehl" w:hAnsi="FrankRuehl" w:hint="cs"/>
          <w:b/>
          <w:bCs/>
          <w:color w:val="323E4F"/>
          <w:sz w:val="28"/>
          <w:rtl/>
        </w:rPr>
        <w:t xml:space="preserve">בית המשפט העליון (פסק הדין העיקרי נכתב על ידי השופט ד' מינץ בהסכמת השופטים י' עמית ו-י' </w:t>
      </w:r>
      <w:proofErr w:type="spellStart"/>
      <w:r w:rsidRPr="00992EA6">
        <w:rPr>
          <w:rFonts w:ascii="FrankRuehl" w:hAnsi="FrankRuehl" w:hint="cs"/>
          <w:b/>
          <w:bCs/>
          <w:color w:val="323E4F"/>
          <w:sz w:val="28"/>
          <w:rtl/>
        </w:rPr>
        <w:t>וילנר</w:t>
      </w:r>
      <w:proofErr w:type="spellEnd"/>
      <w:r w:rsidRPr="00992EA6">
        <w:rPr>
          <w:rFonts w:ascii="FrankRuehl" w:hAnsi="FrankRuehl" w:hint="cs"/>
          <w:b/>
          <w:bCs/>
          <w:color w:val="323E4F"/>
          <w:sz w:val="28"/>
          <w:rtl/>
        </w:rPr>
        <w:t xml:space="preserve">) קיבל פה אחד את ערעור המדינה על החלטת השופטת מ' אגמון-גונן מבית המשפט המחוזי בתל אביב-יפו אשר קיבלה טענה מקדמית שהעלו מר שאול </w:t>
      </w:r>
      <w:proofErr w:type="spellStart"/>
      <w:r w:rsidRPr="00992EA6">
        <w:rPr>
          <w:rFonts w:ascii="FrankRuehl" w:hAnsi="FrankRuehl" w:hint="cs"/>
          <w:b/>
          <w:bCs/>
          <w:color w:val="323E4F"/>
          <w:sz w:val="28"/>
          <w:rtl/>
        </w:rPr>
        <w:t>אלוביץ</w:t>
      </w:r>
      <w:proofErr w:type="spellEnd"/>
      <w:r w:rsidRPr="00992EA6">
        <w:rPr>
          <w:rFonts w:ascii="FrankRuehl" w:hAnsi="FrankRuehl" w:hint="cs"/>
          <w:b/>
          <w:bCs/>
          <w:color w:val="323E4F"/>
          <w:sz w:val="28"/>
          <w:rtl/>
        </w:rPr>
        <w:t xml:space="preserve">' (והחברות שבשליטתו), מר אור </w:t>
      </w:r>
      <w:proofErr w:type="spellStart"/>
      <w:r w:rsidRPr="00992EA6">
        <w:rPr>
          <w:rFonts w:ascii="FrankRuehl" w:hAnsi="FrankRuehl" w:hint="cs"/>
          <w:b/>
          <w:bCs/>
          <w:color w:val="323E4F"/>
          <w:sz w:val="28"/>
          <w:rtl/>
        </w:rPr>
        <w:t>אלוביץ</w:t>
      </w:r>
      <w:proofErr w:type="spellEnd"/>
      <w:r w:rsidRPr="00992EA6">
        <w:rPr>
          <w:rFonts w:ascii="FrankRuehl" w:hAnsi="FrankRuehl" w:hint="cs"/>
          <w:b/>
          <w:bCs/>
          <w:color w:val="323E4F"/>
          <w:sz w:val="28"/>
          <w:rtl/>
        </w:rPr>
        <w:t xml:space="preserve">', מר עמיקם שורר וגב' לינור </w:t>
      </w:r>
      <w:proofErr w:type="spellStart"/>
      <w:r w:rsidRPr="00992EA6">
        <w:rPr>
          <w:rFonts w:ascii="FrankRuehl" w:hAnsi="FrankRuehl" w:hint="cs"/>
          <w:b/>
          <w:bCs/>
          <w:color w:val="323E4F"/>
          <w:sz w:val="28"/>
          <w:rtl/>
        </w:rPr>
        <w:t>יוכלמן</w:t>
      </w:r>
      <w:proofErr w:type="spellEnd"/>
      <w:r w:rsidRPr="00992EA6">
        <w:rPr>
          <w:rFonts w:ascii="FrankRuehl" w:hAnsi="FrankRuehl" w:hint="cs"/>
          <w:b/>
          <w:bCs/>
          <w:color w:val="323E4F"/>
          <w:sz w:val="28"/>
          <w:rtl/>
        </w:rPr>
        <w:t xml:space="preserve"> בנוגע לשני </w:t>
      </w:r>
      <w:proofErr w:type="spellStart"/>
      <w:r w:rsidRPr="00992EA6">
        <w:rPr>
          <w:rFonts w:ascii="FrankRuehl" w:hAnsi="FrankRuehl" w:hint="cs"/>
          <w:b/>
          <w:bCs/>
          <w:color w:val="323E4F"/>
          <w:sz w:val="28"/>
          <w:rtl/>
        </w:rPr>
        <w:t>אישומים</w:t>
      </w:r>
      <w:proofErr w:type="spellEnd"/>
      <w:r w:rsidRPr="00992EA6">
        <w:rPr>
          <w:rFonts w:ascii="FrankRuehl" w:hAnsi="FrankRuehl" w:hint="cs"/>
          <w:b/>
          <w:bCs/>
          <w:color w:val="323E4F"/>
          <w:sz w:val="28"/>
          <w:rtl/>
        </w:rPr>
        <w:t xml:space="preserve"> שנכללו בכתב האישום שהוגש נגדם. </w:t>
      </w:r>
    </w:p>
    <w:p w:rsidR="00992EA6" w:rsidRPr="00992EA6" w:rsidRDefault="00992EA6" w:rsidP="00992EA6">
      <w:pPr>
        <w:pStyle w:val="Ruller41"/>
        <w:rPr>
          <w:sz w:val="28"/>
          <w:rtl/>
        </w:rPr>
      </w:pPr>
    </w:p>
    <w:p w:rsidR="00992EA6" w:rsidRPr="00992EA6" w:rsidRDefault="00992EA6" w:rsidP="00992EA6">
      <w:pPr>
        <w:pStyle w:val="Ruller41"/>
        <w:rPr>
          <w:rFonts w:ascii="FrankRuehl" w:hAnsi="FrankRuehl"/>
          <w:color w:val="323E4F"/>
          <w:sz w:val="28"/>
          <w:rtl/>
        </w:rPr>
      </w:pPr>
      <w:proofErr w:type="spellStart"/>
      <w:r w:rsidRPr="00992EA6">
        <w:rPr>
          <w:rFonts w:ascii="FrankRuehl" w:hAnsi="FrankRuehl" w:hint="cs"/>
          <w:color w:val="323E4F"/>
          <w:sz w:val="28"/>
          <w:rtl/>
        </w:rPr>
        <w:t>האישומים</w:t>
      </w:r>
      <w:proofErr w:type="spellEnd"/>
      <w:r w:rsidRPr="00992EA6">
        <w:rPr>
          <w:rFonts w:ascii="FrankRuehl" w:hAnsi="FrankRuehl" w:hint="cs"/>
          <w:color w:val="323E4F"/>
          <w:sz w:val="28"/>
          <w:rtl/>
        </w:rPr>
        <w:t xml:space="preserve"> כללו עבירות מרמה והפרת אמונים בתאגיד, קבלת דבר במרמה ועבירות של הכללת פרט מטעה בדיווח כדי להטעות את ציבור המשקיעים. זאת, על רקע הדלפת חומרים ומסמכים מוועדות בלתי תלויות שהוקמו במסגרת הליכי אישור "עסקת בזק-יס" שהביאה למיזוג החברות בזק </w:t>
      </w:r>
      <w:proofErr w:type="spellStart"/>
      <w:r w:rsidRPr="00992EA6">
        <w:rPr>
          <w:rFonts w:ascii="FrankRuehl" w:hAnsi="FrankRuehl" w:hint="cs"/>
          <w:color w:val="323E4F"/>
          <w:sz w:val="28"/>
          <w:rtl/>
        </w:rPr>
        <w:t>ודי.בי.אס</w:t>
      </w:r>
      <w:proofErr w:type="spellEnd"/>
      <w:r w:rsidRPr="00992EA6">
        <w:rPr>
          <w:rFonts w:ascii="FrankRuehl" w:hAnsi="FrankRuehl" w:hint="cs"/>
          <w:color w:val="323E4F"/>
          <w:sz w:val="28"/>
          <w:rtl/>
        </w:rPr>
        <w:t xml:space="preserve"> שירותי לוויין (1998), ו"עסקת יס-חלל" בה רכשה חברת יס מקטעי שידורי </w:t>
      </w:r>
      <w:proofErr w:type="spellStart"/>
      <w:r w:rsidRPr="00992EA6">
        <w:rPr>
          <w:rFonts w:ascii="FrankRuehl" w:hAnsi="FrankRuehl" w:hint="cs"/>
          <w:color w:val="323E4F"/>
          <w:sz w:val="28"/>
          <w:rtl/>
        </w:rPr>
        <w:t>לווין</w:t>
      </w:r>
      <w:proofErr w:type="spellEnd"/>
      <w:r w:rsidRPr="00992EA6">
        <w:rPr>
          <w:rFonts w:ascii="FrankRuehl" w:hAnsi="FrankRuehl" w:hint="cs"/>
          <w:color w:val="323E4F"/>
          <w:sz w:val="28"/>
          <w:rtl/>
        </w:rPr>
        <w:t xml:space="preserve"> מחברת חלל תקשורת. בהחלטת בית המשפט המחוזי בוטלו שני </w:t>
      </w:r>
      <w:proofErr w:type="spellStart"/>
      <w:r w:rsidRPr="00992EA6">
        <w:rPr>
          <w:rFonts w:ascii="FrankRuehl" w:hAnsi="FrankRuehl" w:hint="cs"/>
          <w:color w:val="323E4F"/>
          <w:sz w:val="28"/>
          <w:rtl/>
        </w:rPr>
        <w:t>האישומים</w:t>
      </w:r>
      <w:proofErr w:type="spellEnd"/>
      <w:r w:rsidRPr="00992EA6">
        <w:rPr>
          <w:rFonts w:ascii="FrankRuehl" w:hAnsi="FrankRuehl" w:hint="cs"/>
          <w:color w:val="323E4F"/>
          <w:sz w:val="28"/>
          <w:rtl/>
        </w:rPr>
        <w:t xml:space="preserve"> מן הטעם שהעובדות שפורטו בהם אינן מגלות עבירה. </w:t>
      </w:r>
    </w:p>
    <w:p w:rsidR="00992EA6" w:rsidRPr="00992EA6" w:rsidRDefault="00992EA6" w:rsidP="00992EA6">
      <w:pPr>
        <w:pStyle w:val="Ruller41"/>
        <w:rPr>
          <w:rFonts w:ascii="FrankRuehl" w:hAnsi="FrankRuehl"/>
          <w:color w:val="323E4F"/>
          <w:sz w:val="28"/>
          <w:rtl/>
        </w:rPr>
      </w:pPr>
    </w:p>
    <w:p w:rsidR="00992EA6" w:rsidRPr="00992EA6" w:rsidRDefault="00992EA6" w:rsidP="00992EA6">
      <w:pPr>
        <w:pStyle w:val="Ruller41"/>
        <w:rPr>
          <w:rFonts w:ascii="FrankRuehl" w:hAnsi="FrankRuehl"/>
          <w:color w:val="323E4F"/>
          <w:sz w:val="28"/>
          <w:rtl/>
        </w:rPr>
      </w:pPr>
      <w:r w:rsidRPr="00992EA6">
        <w:rPr>
          <w:rFonts w:ascii="FrankRuehl" w:hAnsi="FrankRuehl" w:hint="cs"/>
          <w:color w:val="323E4F"/>
          <w:sz w:val="28"/>
          <w:rtl/>
        </w:rPr>
        <w:t>בפסק הדין קבע בית המשפט העליון כי אין מדובר במצב שבו ניתן לומר באופן מובהק וללא בירור ראייתי, כי גם אם יוכחו עובדות כתב האישום, לא יהיה בסיס להרשעת הנאשמים בעבירות שיוחסו להם. זאת שכן על פי עובדות כתב האישום, הוועדות הוקמו לבדיקת העסקאות טרם אישורן ולשם ניהול המשא ומתן באופן המדמה תנאי שוק, על רקע העניין האישי שהיה לבעלי העניין בעסקאות. על פי הנטען בכתב האישום, המידע אשר היה בו כדי להקנות יתרון תחרותי במשא ומתן, הועבר לידי בעלי העניין חרף מצגים שונים מהם השתמע כי המידע לא היה אמור להגיע לידיהם, תוך הסתרת העברת המידע. תוצאת פסק דינו של בית המשפט העליון היא כי החלטת בית המשפט המחוזי בוטלה וכתב האישום בכללותו נגד כל הנאשמים (זולת חברה אחת), הוחזר להמשך בירור לגופו בבית המשפט המחוזי.</w:t>
      </w:r>
    </w:p>
    <w:p w:rsidR="00992EA6" w:rsidRDefault="00992EA6" w:rsidP="00992EA6">
      <w:pPr>
        <w:pStyle w:val="Ruller41"/>
        <w:rPr>
          <w:rtl/>
        </w:rPr>
      </w:pPr>
    </w:p>
    <w:p w:rsidR="00D92D09" w:rsidRDefault="00D92D09" w:rsidP="005B5350">
      <w:pPr>
        <w:spacing w:after="120"/>
        <w:jc w:val="center"/>
        <w:rPr>
          <w:rFonts w:ascii="FrankRuehl" w:hAnsi="FrankRuehl"/>
          <w:b/>
          <w:bCs/>
          <w:color w:val="323E4F"/>
          <w:spacing w:val="0"/>
          <w:sz w:val="26"/>
          <w:szCs w:val="26"/>
        </w:rPr>
      </w:pPr>
      <w:r>
        <w:rPr>
          <w:rFonts w:ascii="FrankRuehl" w:hAnsi="FrankRuehl"/>
          <w:b/>
          <w:bCs/>
          <w:color w:val="323E4F"/>
          <w:sz w:val="26"/>
          <w:szCs w:val="26"/>
          <w:rtl/>
        </w:rPr>
        <w:t>**</w:t>
      </w:r>
      <w:r w:rsidR="005B5350">
        <w:rPr>
          <w:rFonts w:ascii="FrankRuehl" w:hAnsi="FrankRuehl" w:hint="cs"/>
          <w:b/>
          <w:bCs/>
          <w:color w:val="323E4F"/>
          <w:sz w:val="26"/>
          <w:szCs w:val="26"/>
          <w:rtl/>
        </w:rPr>
        <w:t>*</w:t>
      </w:r>
      <w:r>
        <w:rPr>
          <w:rFonts w:ascii="FrankRuehl" w:hAnsi="FrankRuehl"/>
          <w:b/>
          <w:bCs/>
          <w:color w:val="323E4F"/>
          <w:sz w:val="26"/>
          <w:szCs w:val="26"/>
          <w:rtl/>
        </w:rPr>
        <w:t xml:space="preserve">התקציר אינו בא להחליף את </w:t>
      </w:r>
      <w:r w:rsidR="005B5350">
        <w:rPr>
          <w:rFonts w:ascii="FrankRuehl" w:hAnsi="FrankRuehl" w:hint="cs"/>
          <w:b/>
          <w:bCs/>
          <w:color w:val="323E4F"/>
          <w:sz w:val="26"/>
          <w:szCs w:val="26"/>
          <w:rtl/>
        </w:rPr>
        <w:t>פסק</w:t>
      </w:r>
      <w:r>
        <w:rPr>
          <w:rFonts w:ascii="FrankRuehl" w:hAnsi="FrankRuehl"/>
          <w:b/>
          <w:bCs/>
          <w:color w:val="323E4F"/>
          <w:sz w:val="26"/>
          <w:szCs w:val="26"/>
          <w:rtl/>
        </w:rPr>
        <w:t>-</w:t>
      </w:r>
      <w:r w:rsidR="00992EA6">
        <w:rPr>
          <w:rFonts w:ascii="FrankRuehl" w:hAnsi="FrankRuehl"/>
          <w:b/>
          <w:bCs/>
          <w:color w:val="323E4F"/>
          <w:sz w:val="26"/>
          <w:szCs w:val="26"/>
          <w:rtl/>
        </w:rPr>
        <w:t xml:space="preserve">הדין, הנוסח המחייב הוא זה של </w:t>
      </w:r>
      <w:r w:rsidR="00992EA6">
        <w:rPr>
          <w:rFonts w:ascii="FrankRuehl" w:hAnsi="FrankRuehl" w:hint="cs"/>
          <w:b/>
          <w:bCs/>
          <w:color w:val="323E4F"/>
          <w:sz w:val="26"/>
          <w:szCs w:val="26"/>
          <w:rtl/>
        </w:rPr>
        <w:t>פסק</w:t>
      </w:r>
      <w:r>
        <w:rPr>
          <w:rFonts w:ascii="FrankRuehl" w:hAnsi="FrankRuehl"/>
          <w:b/>
          <w:bCs/>
          <w:color w:val="323E4F"/>
          <w:sz w:val="26"/>
          <w:szCs w:val="26"/>
          <w:rtl/>
        </w:rPr>
        <w:t>-הדין המלא**</w:t>
      </w:r>
      <w:r w:rsidR="005B5350">
        <w:rPr>
          <w:rFonts w:ascii="FrankRuehl" w:hAnsi="FrankRuehl" w:hint="cs"/>
          <w:b/>
          <w:bCs/>
          <w:color w:val="323E4F"/>
          <w:sz w:val="26"/>
          <w:szCs w:val="26"/>
          <w:rtl/>
        </w:rPr>
        <w:t>*</w:t>
      </w:r>
    </w:p>
    <w:sectPr w:rsidR="00D92D09" w:rsidSect="00221601">
      <w:headerReference w:type="even" r:id="rId8"/>
      <w:headerReference w:type="default" r:id="rId9"/>
      <w:footerReference w:type="even" r:id="rId10"/>
      <w:headerReference w:type="first" r:id="rId11"/>
      <w:footerReference w:type="first" r:id="rId12"/>
      <w:endnotePr>
        <w:numFmt w:val="lowerLetter"/>
      </w:endnotePr>
      <w:pgSz w:w="11906" w:h="16838"/>
      <w:pgMar w:top="1285" w:right="1800" w:bottom="1440" w:left="1800" w:header="720" w:footer="720" w:gutter="0"/>
      <w:cols w:space="720"/>
      <w:titlePg/>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9BD" w:rsidRDefault="002929BD">
      <w:r>
        <w:separator/>
      </w:r>
    </w:p>
  </w:endnote>
  <w:endnote w:type="continuationSeparator" w:id="0">
    <w:p w:rsidR="002929BD" w:rsidRDefault="00292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David">
    <w:panose1 w:val="020E0502060401010101"/>
    <w:charset w:val="00"/>
    <w:family w:val="swiss"/>
    <w:pitch w:val="variable"/>
    <w:sig w:usb0="00000803" w:usb1="00000000" w:usb2="00000000" w:usb3="00000000" w:csb0="00000021" w:csb1="00000000"/>
  </w:font>
  <w:font w:name="Guttman Yad">
    <w:panose1 w:val="02010401010101010101"/>
    <w:charset w:val="B1"/>
    <w:family w:val="auto"/>
    <w:pitch w:val="variable"/>
    <w:sig w:usb0="00000801" w:usb1="40000000" w:usb2="00000000" w:usb3="00000000" w:csb0="0000002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44C" w:rsidRDefault="002D044C">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rtl/>
      </w:rPr>
      <w:t>1</w:t>
    </w:r>
    <w:r>
      <w:rPr>
        <w:rStyle w:val="a4"/>
        <w:rtl/>
      </w:rPr>
      <w:fldChar w:fldCharType="end"/>
    </w:r>
  </w:p>
  <w:p w:rsidR="002D044C" w:rsidRDefault="002D044C">
    <w:pPr>
      <w:pStyle w:val="a3"/>
      <w:rPr>
        <w:rtl/>
      </w:rPr>
    </w:pPr>
  </w:p>
  <w:p w:rsidR="002D044C" w:rsidRDefault="002D044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44C" w:rsidRDefault="002D044C">
    <w:pPr>
      <w:pStyle w:val="a3"/>
      <w:bidi w:val="0"/>
    </w:pPr>
  </w:p>
  <w:p w:rsidR="002D044C" w:rsidRDefault="002D044C">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9BD" w:rsidRDefault="002929BD">
      <w:r>
        <w:separator/>
      </w:r>
    </w:p>
  </w:footnote>
  <w:footnote w:type="continuationSeparator" w:id="0">
    <w:p w:rsidR="002929BD" w:rsidRDefault="00292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44C" w:rsidRDefault="002D044C">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rtl/>
      </w:rPr>
      <w:t>1</w:t>
    </w:r>
    <w:r>
      <w:rPr>
        <w:rStyle w:val="a4"/>
        <w:rtl/>
      </w:rPr>
      <w:fldChar w:fldCharType="end"/>
    </w:r>
  </w:p>
  <w:p w:rsidR="002D044C" w:rsidRDefault="002D044C">
    <w:pPr>
      <w:pStyle w:val="a5"/>
      <w:rPr>
        <w:rtl/>
      </w:rPr>
    </w:pPr>
  </w:p>
  <w:p w:rsidR="002D044C" w:rsidRDefault="002D044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44C" w:rsidRDefault="002D044C">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221601">
      <w:rPr>
        <w:rStyle w:val="a4"/>
        <w:noProof/>
        <w:rtl/>
      </w:rPr>
      <w:t>2</w:t>
    </w:r>
    <w:r>
      <w:rPr>
        <w:rStyle w:val="a4"/>
        <w:rtl/>
      </w:rPr>
      <w:fldChar w:fldCharType="end"/>
    </w:r>
  </w:p>
  <w:p w:rsidR="002D044C" w:rsidRDefault="002D044C">
    <w:pPr>
      <w:pStyle w:val="a5"/>
      <w:rPr>
        <w:rtl/>
      </w:rPr>
    </w:pPr>
  </w:p>
  <w:p w:rsidR="002D044C" w:rsidRDefault="002D044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601" w:rsidRDefault="00221601" w:rsidP="00221601">
    <w:pPr>
      <w:pStyle w:val="a5"/>
      <w:jc w:val="center"/>
      <w:rPr>
        <w:rtl/>
      </w:rPr>
    </w:pPr>
    <w:r w:rsidRPr="0012560F">
      <w:rPr>
        <w:noProof/>
      </w:rPr>
      <w:drawing>
        <wp:inline distT="0" distB="0" distL="0" distR="0" wp14:anchorId="0FA66A14" wp14:editId="7E403CE8">
          <wp:extent cx="525145" cy="621030"/>
          <wp:effectExtent l="0" t="0" r="8255" b="7620"/>
          <wp:docPr id="1" name="תמונה 1" descr="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 cy="621030"/>
                  </a:xfrm>
                  <a:prstGeom prst="rect">
                    <a:avLst/>
                  </a:prstGeom>
                  <a:noFill/>
                  <a:ln>
                    <a:noFill/>
                  </a:ln>
                </pic:spPr>
              </pic:pic>
            </a:graphicData>
          </a:graphic>
        </wp:inline>
      </w:drawing>
    </w:r>
  </w:p>
  <w:p w:rsidR="00221601" w:rsidRPr="00221601" w:rsidRDefault="00221601" w:rsidP="00221601">
    <w:pPr>
      <w:tabs>
        <w:tab w:val="left" w:pos="800"/>
      </w:tabs>
      <w:jc w:val="center"/>
      <w:rPr>
        <w:rFonts w:ascii="Arial TUR" w:hAnsi="Arial TUR" w:cs="David" w:hint="cs"/>
        <w:b/>
        <w:bCs/>
        <w:color w:val="000080"/>
        <w:sz w:val="28"/>
        <w:szCs w:val="32"/>
        <w:rtl/>
      </w:rPr>
    </w:pPr>
    <w:r w:rsidRPr="00A964EC">
      <w:rPr>
        <w:rFonts w:ascii="Arial TUR" w:hAnsi="Arial TUR" w:cs="David" w:hint="cs"/>
        <w:b/>
        <w:bCs/>
        <w:color w:val="000080"/>
        <w:sz w:val="28"/>
        <w:szCs w:val="32"/>
        <w:rtl/>
      </w:rPr>
      <w:t>בית המשפט העליון</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FE70B62"/>
    <w:multiLevelType w:val="hybridMultilevel"/>
    <w:tmpl w:val="ADA8711E"/>
    <w:lvl w:ilvl="0" w:tplc="DBB0A036">
      <w:start w:val="1"/>
      <w:numFmt w:val="hebrew1"/>
      <w:pStyle w:val="Ruller40"/>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701"/>
    <w:rsid w:val="00006F39"/>
    <w:rsid w:val="00020E06"/>
    <w:rsid w:val="00021638"/>
    <w:rsid w:val="00057428"/>
    <w:rsid w:val="00064573"/>
    <w:rsid w:val="00072C1D"/>
    <w:rsid w:val="00074B88"/>
    <w:rsid w:val="00074B9F"/>
    <w:rsid w:val="00084976"/>
    <w:rsid w:val="0009258F"/>
    <w:rsid w:val="0009585E"/>
    <w:rsid w:val="000A1AB8"/>
    <w:rsid w:val="000A6ABA"/>
    <w:rsid w:val="000B2ECF"/>
    <w:rsid w:val="000B78F4"/>
    <w:rsid w:val="000B7CB1"/>
    <w:rsid w:val="000C0407"/>
    <w:rsid w:val="000D20EC"/>
    <w:rsid w:val="000D4CD3"/>
    <w:rsid w:val="000E0196"/>
    <w:rsid w:val="000E727A"/>
    <w:rsid w:val="000F5245"/>
    <w:rsid w:val="000F6A92"/>
    <w:rsid w:val="0010484A"/>
    <w:rsid w:val="0010649F"/>
    <w:rsid w:val="00180701"/>
    <w:rsid w:val="0018467D"/>
    <w:rsid w:val="00190B7D"/>
    <w:rsid w:val="001C1CD4"/>
    <w:rsid w:val="001C289E"/>
    <w:rsid w:val="001E024A"/>
    <w:rsid w:val="001E1AA2"/>
    <w:rsid w:val="001E2B1F"/>
    <w:rsid w:val="001E5945"/>
    <w:rsid w:val="001F1A70"/>
    <w:rsid w:val="001F297C"/>
    <w:rsid w:val="001F69E3"/>
    <w:rsid w:val="00210B5D"/>
    <w:rsid w:val="00221601"/>
    <w:rsid w:val="002219EB"/>
    <w:rsid w:val="00225777"/>
    <w:rsid w:val="00227345"/>
    <w:rsid w:val="00230156"/>
    <w:rsid w:val="0024615A"/>
    <w:rsid w:val="00254B7B"/>
    <w:rsid w:val="00267300"/>
    <w:rsid w:val="002929BD"/>
    <w:rsid w:val="002B25BB"/>
    <w:rsid w:val="002B3337"/>
    <w:rsid w:val="002B390C"/>
    <w:rsid w:val="002C1541"/>
    <w:rsid w:val="002C2AF4"/>
    <w:rsid w:val="002C6A88"/>
    <w:rsid w:val="002D044C"/>
    <w:rsid w:val="002D48C1"/>
    <w:rsid w:val="002E4ECB"/>
    <w:rsid w:val="002E694B"/>
    <w:rsid w:val="002E6ECE"/>
    <w:rsid w:val="00304FA2"/>
    <w:rsid w:val="003100DA"/>
    <w:rsid w:val="00310CDE"/>
    <w:rsid w:val="00311FB2"/>
    <w:rsid w:val="00320125"/>
    <w:rsid w:val="00331F43"/>
    <w:rsid w:val="00344285"/>
    <w:rsid w:val="00365A27"/>
    <w:rsid w:val="00374F1A"/>
    <w:rsid w:val="003A351F"/>
    <w:rsid w:val="003A5033"/>
    <w:rsid w:val="003B3885"/>
    <w:rsid w:val="003B5C7C"/>
    <w:rsid w:val="003D1D6E"/>
    <w:rsid w:val="003D51F1"/>
    <w:rsid w:val="003E1D52"/>
    <w:rsid w:val="003E4ABA"/>
    <w:rsid w:val="003F3926"/>
    <w:rsid w:val="003F3F78"/>
    <w:rsid w:val="00404CC4"/>
    <w:rsid w:val="00405772"/>
    <w:rsid w:val="00406A1D"/>
    <w:rsid w:val="0042252F"/>
    <w:rsid w:val="004403F1"/>
    <w:rsid w:val="0046584A"/>
    <w:rsid w:val="004922A6"/>
    <w:rsid w:val="004A00E1"/>
    <w:rsid w:val="004A0FD2"/>
    <w:rsid w:val="004A134B"/>
    <w:rsid w:val="004A3AB8"/>
    <w:rsid w:val="004A536C"/>
    <w:rsid w:val="004B1F11"/>
    <w:rsid w:val="004B2948"/>
    <w:rsid w:val="004C065B"/>
    <w:rsid w:val="004D01ED"/>
    <w:rsid w:val="004D6812"/>
    <w:rsid w:val="004D7E67"/>
    <w:rsid w:val="004E0F1B"/>
    <w:rsid w:val="004E147C"/>
    <w:rsid w:val="004E59D1"/>
    <w:rsid w:val="004F1D87"/>
    <w:rsid w:val="00515999"/>
    <w:rsid w:val="00523BBA"/>
    <w:rsid w:val="005241C0"/>
    <w:rsid w:val="00565CC6"/>
    <w:rsid w:val="005B01CA"/>
    <w:rsid w:val="005B0C21"/>
    <w:rsid w:val="005B5350"/>
    <w:rsid w:val="005B642B"/>
    <w:rsid w:val="005C513A"/>
    <w:rsid w:val="005D29C7"/>
    <w:rsid w:val="005D6398"/>
    <w:rsid w:val="005E774C"/>
    <w:rsid w:val="005F1C3E"/>
    <w:rsid w:val="005F6E31"/>
    <w:rsid w:val="006073F7"/>
    <w:rsid w:val="00615BC7"/>
    <w:rsid w:val="00617540"/>
    <w:rsid w:val="0062724D"/>
    <w:rsid w:val="00653164"/>
    <w:rsid w:val="006649F8"/>
    <w:rsid w:val="00667670"/>
    <w:rsid w:val="00673854"/>
    <w:rsid w:val="006760FF"/>
    <w:rsid w:val="00682B8E"/>
    <w:rsid w:val="00692DF7"/>
    <w:rsid w:val="006A273B"/>
    <w:rsid w:val="006A6B7E"/>
    <w:rsid w:val="006C1457"/>
    <w:rsid w:val="006D44B6"/>
    <w:rsid w:val="006D5502"/>
    <w:rsid w:val="006E0822"/>
    <w:rsid w:val="006E608D"/>
    <w:rsid w:val="00712C0D"/>
    <w:rsid w:val="00720DD8"/>
    <w:rsid w:val="00734E7B"/>
    <w:rsid w:val="007457EF"/>
    <w:rsid w:val="00747BBF"/>
    <w:rsid w:val="00756602"/>
    <w:rsid w:val="007603C3"/>
    <w:rsid w:val="00777E22"/>
    <w:rsid w:val="00783C9E"/>
    <w:rsid w:val="007C024A"/>
    <w:rsid w:val="007D0F1F"/>
    <w:rsid w:val="007D54D2"/>
    <w:rsid w:val="007E0184"/>
    <w:rsid w:val="008044FC"/>
    <w:rsid w:val="00816F92"/>
    <w:rsid w:val="00824761"/>
    <w:rsid w:val="00833EB3"/>
    <w:rsid w:val="00834802"/>
    <w:rsid w:val="008647F4"/>
    <w:rsid w:val="00871866"/>
    <w:rsid w:val="00874E8F"/>
    <w:rsid w:val="0088230B"/>
    <w:rsid w:val="008824D5"/>
    <w:rsid w:val="008934F2"/>
    <w:rsid w:val="008A397C"/>
    <w:rsid w:val="008A4340"/>
    <w:rsid w:val="008B2508"/>
    <w:rsid w:val="008B2605"/>
    <w:rsid w:val="008E6C36"/>
    <w:rsid w:val="008F1243"/>
    <w:rsid w:val="008F249C"/>
    <w:rsid w:val="0092421A"/>
    <w:rsid w:val="0092473C"/>
    <w:rsid w:val="00932DB2"/>
    <w:rsid w:val="00935107"/>
    <w:rsid w:val="00953DBB"/>
    <w:rsid w:val="00954640"/>
    <w:rsid w:val="00956D4B"/>
    <w:rsid w:val="00956F05"/>
    <w:rsid w:val="009651BF"/>
    <w:rsid w:val="0097777C"/>
    <w:rsid w:val="00982F69"/>
    <w:rsid w:val="009922A6"/>
    <w:rsid w:val="00992EA6"/>
    <w:rsid w:val="00995C07"/>
    <w:rsid w:val="009A35ED"/>
    <w:rsid w:val="009B5E2F"/>
    <w:rsid w:val="009D467D"/>
    <w:rsid w:val="009E088D"/>
    <w:rsid w:val="009E1D91"/>
    <w:rsid w:val="009F3A6C"/>
    <w:rsid w:val="009F432B"/>
    <w:rsid w:val="00A065FC"/>
    <w:rsid w:val="00A270C2"/>
    <w:rsid w:val="00A55AC3"/>
    <w:rsid w:val="00A642FC"/>
    <w:rsid w:val="00A6437C"/>
    <w:rsid w:val="00A719D9"/>
    <w:rsid w:val="00A81E51"/>
    <w:rsid w:val="00A91186"/>
    <w:rsid w:val="00AB2AF2"/>
    <w:rsid w:val="00AD1836"/>
    <w:rsid w:val="00AD65D4"/>
    <w:rsid w:val="00AE28BA"/>
    <w:rsid w:val="00AE2AC0"/>
    <w:rsid w:val="00AF4C42"/>
    <w:rsid w:val="00B02C0B"/>
    <w:rsid w:val="00B04933"/>
    <w:rsid w:val="00B113A8"/>
    <w:rsid w:val="00B14131"/>
    <w:rsid w:val="00B15CC3"/>
    <w:rsid w:val="00B16EA2"/>
    <w:rsid w:val="00B278D9"/>
    <w:rsid w:val="00B45799"/>
    <w:rsid w:val="00B47036"/>
    <w:rsid w:val="00B478E7"/>
    <w:rsid w:val="00B5465E"/>
    <w:rsid w:val="00B571F4"/>
    <w:rsid w:val="00B65E73"/>
    <w:rsid w:val="00B7785D"/>
    <w:rsid w:val="00B83D24"/>
    <w:rsid w:val="00B94695"/>
    <w:rsid w:val="00B947B2"/>
    <w:rsid w:val="00BD43AA"/>
    <w:rsid w:val="00BE389F"/>
    <w:rsid w:val="00BE43A1"/>
    <w:rsid w:val="00BF532D"/>
    <w:rsid w:val="00C00A21"/>
    <w:rsid w:val="00C02314"/>
    <w:rsid w:val="00C119B5"/>
    <w:rsid w:val="00C1683B"/>
    <w:rsid w:val="00C1755A"/>
    <w:rsid w:val="00C22776"/>
    <w:rsid w:val="00C3158E"/>
    <w:rsid w:val="00C319E1"/>
    <w:rsid w:val="00C4112F"/>
    <w:rsid w:val="00C41EF8"/>
    <w:rsid w:val="00C57433"/>
    <w:rsid w:val="00C72486"/>
    <w:rsid w:val="00C834DA"/>
    <w:rsid w:val="00C86F90"/>
    <w:rsid w:val="00CA04EF"/>
    <w:rsid w:val="00CB5C46"/>
    <w:rsid w:val="00CB78CE"/>
    <w:rsid w:val="00CD4CE9"/>
    <w:rsid w:val="00CF5B1C"/>
    <w:rsid w:val="00D13403"/>
    <w:rsid w:val="00D157D4"/>
    <w:rsid w:val="00D24750"/>
    <w:rsid w:val="00D506DE"/>
    <w:rsid w:val="00D511DD"/>
    <w:rsid w:val="00D552BF"/>
    <w:rsid w:val="00D746B8"/>
    <w:rsid w:val="00D74840"/>
    <w:rsid w:val="00D82D2F"/>
    <w:rsid w:val="00D915DC"/>
    <w:rsid w:val="00D91EA8"/>
    <w:rsid w:val="00D92D09"/>
    <w:rsid w:val="00DF2933"/>
    <w:rsid w:val="00E12233"/>
    <w:rsid w:val="00E14012"/>
    <w:rsid w:val="00E145F4"/>
    <w:rsid w:val="00E276C1"/>
    <w:rsid w:val="00E55704"/>
    <w:rsid w:val="00E749DA"/>
    <w:rsid w:val="00E76D54"/>
    <w:rsid w:val="00E95034"/>
    <w:rsid w:val="00EA1395"/>
    <w:rsid w:val="00EA4A4F"/>
    <w:rsid w:val="00EA6060"/>
    <w:rsid w:val="00EA6932"/>
    <w:rsid w:val="00EB2628"/>
    <w:rsid w:val="00EB462F"/>
    <w:rsid w:val="00EC2864"/>
    <w:rsid w:val="00EC2EC8"/>
    <w:rsid w:val="00ED7E0B"/>
    <w:rsid w:val="00EE19AE"/>
    <w:rsid w:val="00EE2D4A"/>
    <w:rsid w:val="00F031AC"/>
    <w:rsid w:val="00F12C64"/>
    <w:rsid w:val="00F12DB9"/>
    <w:rsid w:val="00F33239"/>
    <w:rsid w:val="00F6085C"/>
    <w:rsid w:val="00F60A9E"/>
    <w:rsid w:val="00F75B32"/>
    <w:rsid w:val="00F76209"/>
    <w:rsid w:val="00F76B1C"/>
    <w:rsid w:val="00F85A9B"/>
    <w:rsid w:val="00F8734F"/>
    <w:rsid w:val="00F94205"/>
    <w:rsid w:val="00FA075F"/>
    <w:rsid w:val="00FA7EB3"/>
    <w:rsid w:val="00FB568A"/>
    <w:rsid w:val="00FE650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41198"/>
  <w15:chartTrackingRefBased/>
  <w15:docId w15:val="{F2EAD2F2-6787-49C1-9410-6A7E81978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9EB"/>
    <w:pPr>
      <w:overflowPunct w:val="0"/>
      <w:autoSpaceDE w:val="0"/>
      <w:autoSpaceDN w:val="0"/>
      <w:bidi/>
      <w:adjustRightInd w:val="0"/>
      <w:spacing w:line="360" w:lineRule="auto"/>
      <w:textAlignment w:val="baseline"/>
    </w:pPr>
    <w:rPr>
      <w:rFonts w:ascii="Century" w:hAnsi="Century" w:cs="FrankRuehl"/>
      <w:spacing w:val="1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link w:val="Ruller30"/>
    <w:rsid w:val="00D506DE"/>
    <w:pPr>
      <w:tabs>
        <w:tab w:val="left" w:pos="3210"/>
        <w:tab w:val="left" w:pos="6753"/>
      </w:tabs>
    </w:pPr>
    <w:rPr>
      <w:sz w:val="22"/>
    </w:rPr>
  </w:style>
  <w:style w:type="paragraph" w:customStyle="1" w:styleId="Pskdinhead">
    <w:name w:val="Pskdin head"/>
    <w:basedOn w:val="a"/>
    <w:rPr>
      <w:b/>
      <w:bCs/>
      <w:u w:val="single"/>
    </w:rPr>
  </w:style>
  <w:style w:type="paragraph" w:customStyle="1" w:styleId="FileNumber">
    <w:name w:val="File Number"/>
    <w:basedOn w:val="a"/>
    <w:pPr>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rPr>
  </w:style>
  <w:style w:type="paragraph" w:customStyle="1" w:styleId="DocumentHead">
    <w:name w:val="Document Head"/>
    <w:basedOn w:val="a"/>
    <w:pPr>
      <w:jc w:val="center"/>
    </w:pPr>
    <w:rPr>
      <w:bCs/>
      <w:spacing w:val="30"/>
      <w:u w:val="single"/>
    </w:rPr>
  </w:style>
  <w:style w:type="paragraph" w:customStyle="1" w:styleId="TfutzaList">
    <w:name w:val="Tfutza List"/>
    <w:basedOn w:val="a"/>
    <w:rPr>
      <w:i/>
      <w:iCs/>
    </w:rPr>
  </w:style>
  <w:style w:type="paragraph" w:customStyle="1" w:styleId="Ruller41">
    <w:name w:val="Ruller4"/>
    <w:basedOn w:val="a"/>
    <w:rsid w:val="00D506DE"/>
    <w:pPr>
      <w:tabs>
        <w:tab w:val="left" w:pos="800"/>
      </w:tabs>
      <w:jc w:val="both"/>
    </w:pPr>
    <w:rPr>
      <w:rFonts w:ascii="Arial TUR" w:hAnsi="Arial TUR"/>
      <w:sz w:val="22"/>
    </w:rPr>
  </w:style>
  <w:style w:type="paragraph" w:customStyle="1" w:styleId="Ruller5">
    <w:name w:val="Ruller5"/>
    <w:basedOn w:val="a"/>
    <w:rsid w:val="00D506DE"/>
    <w:pPr>
      <w:spacing w:line="240" w:lineRule="auto"/>
      <w:ind w:left="1644" w:right="1276"/>
      <w:jc w:val="both"/>
    </w:pPr>
    <w:rPr>
      <w:rFonts w:ascii="Arial TUR" w:hAnsi="Arial TUR"/>
      <w:sz w:val="22"/>
    </w:rPr>
  </w:style>
  <w:style w:type="paragraph" w:customStyle="1" w:styleId="Ruller6">
    <w:name w:val="Ruller6"/>
    <w:basedOn w:val="a"/>
    <w:rsid w:val="00D506DE"/>
    <w:pPr>
      <w:tabs>
        <w:tab w:val="left" w:pos="794"/>
        <w:tab w:val="left" w:pos="2268"/>
        <w:tab w:val="left" w:pos="5783"/>
        <w:tab w:val="left" w:pos="7371"/>
      </w:tabs>
    </w:pPr>
    <w:rPr>
      <w:rFonts w:ascii="Arial TUR" w:hAnsi="Arial TUR" w:cs="DavidFix"/>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link w:val="a6"/>
    <w:uiPriority w:val="99"/>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link w:val="BodyRuller0"/>
    <w:rsid w:val="00B94695"/>
    <w:rPr>
      <w:sz w:val="22"/>
    </w:rPr>
  </w:style>
  <w:style w:type="paragraph" w:customStyle="1" w:styleId="Ruller38">
    <w:name w:val="סגנון Ruller 3 + (מורכב) ‏8 נק"/>
    <w:basedOn w:val="BodyRuller"/>
    <w:link w:val="Ruller380"/>
    <w:rsid w:val="004D7E67"/>
    <w:rPr>
      <w:szCs w:val="16"/>
    </w:rPr>
  </w:style>
  <w:style w:type="character" w:customStyle="1" w:styleId="Ruller30">
    <w:name w:val="Ruller 3 תו"/>
    <w:link w:val="Ruller3"/>
    <w:rsid w:val="004D7E67"/>
    <w:rPr>
      <w:rFonts w:cs="FrankRuehl"/>
      <w:sz w:val="22"/>
      <w:szCs w:val="28"/>
      <w:lang w:val="en-US" w:eastAsia="en-US" w:bidi="he-IL"/>
    </w:rPr>
  </w:style>
  <w:style w:type="character" w:customStyle="1" w:styleId="BodyRuller0">
    <w:name w:val="Body Ruller תו"/>
    <w:link w:val="BodyRuller"/>
    <w:rsid w:val="00B94695"/>
    <w:rPr>
      <w:rFonts w:cs="David"/>
      <w:sz w:val="22"/>
      <w:szCs w:val="28"/>
      <w:lang w:val="en-US" w:eastAsia="en-US" w:bidi="he-IL"/>
    </w:rPr>
  </w:style>
  <w:style w:type="character" w:customStyle="1" w:styleId="Ruller380">
    <w:name w:val="סגנון Ruller 3 + (מורכב) ‏8 נק תו"/>
    <w:link w:val="Ruller38"/>
    <w:rsid w:val="004D7E67"/>
    <w:rPr>
      <w:rFonts w:cs="David"/>
      <w:sz w:val="22"/>
      <w:szCs w:val="16"/>
      <w:lang w:val="en-US" w:eastAsia="en-US" w:bidi="he-IL"/>
    </w:rPr>
  </w:style>
  <w:style w:type="paragraph" w:customStyle="1" w:styleId="Ruller4">
    <w:name w:val="Ruller 4 ממוספר"/>
    <w:basedOn w:val="Ruller41"/>
    <w:next w:val="Ruller41"/>
    <w:link w:val="Ruller42"/>
    <w:rsid w:val="00956F05"/>
    <w:pPr>
      <w:numPr>
        <w:numId w:val="1"/>
      </w:numPr>
    </w:pPr>
    <w:rPr>
      <w:rFonts w:ascii="Garamond" w:hAnsi="Garamond"/>
      <w:sz w:val="24"/>
    </w:rPr>
  </w:style>
  <w:style w:type="paragraph" w:customStyle="1" w:styleId="Ruller40">
    <w:name w:val="Ruller4 אלפביתי"/>
    <w:basedOn w:val="Ruller41"/>
    <w:next w:val="Ruller41"/>
    <w:rsid w:val="00D511DD"/>
    <w:pPr>
      <w:numPr>
        <w:numId w:val="2"/>
      </w:numPr>
    </w:pPr>
  </w:style>
  <w:style w:type="paragraph" w:styleId="a7">
    <w:name w:val="annotation text"/>
    <w:basedOn w:val="a"/>
    <w:link w:val="a8"/>
    <w:uiPriority w:val="99"/>
    <w:rsid w:val="00180701"/>
    <w:pPr>
      <w:spacing w:line="240" w:lineRule="auto"/>
    </w:pPr>
    <w:rPr>
      <w:rFonts w:ascii="Times New Roman" w:hAnsi="Times New Roman" w:cs="David"/>
      <w:spacing w:val="0"/>
      <w:szCs w:val="20"/>
    </w:rPr>
  </w:style>
  <w:style w:type="character" w:customStyle="1" w:styleId="a8">
    <w:name w:val="טקסט הערה תו"/>
    <w:basedOn w:val="a0"/>
    <w:link w:val="a7"/>
    <w:uiPriority w:val="99"/>
    <w:rsid w:val="00180701"/>
    <w:rPr>
      <w:rFonts w:cs="David"/>
    </w:rPr>
  </w:style>
  <w:style w:type="paragraph" w:styleId="a9">
    <w:name w:val="List Paragraph"/>
    <w:basedOn w:val="a"/>
    <w:link w:val="aa"/>
    <w:uiPriority w:val="34"/>
    <w:qFormat/>
    <w:rsid w:val="00180701"/>
    <w:pPr>
      <w:overflowPunct/>
      <w:autoSpaceDE/>
      <w:autoSpaceDN/>
      <w:adjustRightInd/>
      <w:spacing w:line="240" w:lineRule="auto"/>
      <w:ind w:left="720"/>
      <w:contextualSpacing/>
      <w:textAlignment w:val="auto"/>
    </w:pPr>
    <w:rPr>
      <w:rFonts w:asciiTheme="minorHAnsi" w:eastAsiaTheme="minorHAnsi" w:hAnsiTheme="minorHAnsi" w:cstheme="minorBidi"/>
      <w:spacing w:val="0"/>
      <w:sz w:val="24"/>
      <w:szCs w:val="24"/>
    </w:rPr>
  </w:style>
  <w:style w:type="character" w:customStyle="1" w:styleId="aa">
    <w:name w:val="פיסקת רשימה תו"/>
    <w:basedOn w:val="a0"/>
    <w:link w:val="a9"/>
    <w:uiPriority w:val="34"/>
    <w:rsid w:val="00180701"/>
    <w:rPr>
      <w:rFonts w:asciiTheme="minorHAnsi" w:eastAsiaTheme="minorHAnsi" w:hAnsiTheme="minorHAnsi" w:cstheme="minorBidi"/>
      <w:sz w:val="24"/>
      <w:szCs w:val="24"/>
    </w:rPr>
  </w:style>
  <w:style w:type="character" w:customStyle="1" w:styleId="Ruller42">
    <w:name w:val="Ruller 4 ממוספר תו"/>
    <w:link w:val="Ruller4"/>
    <w:locked/>
    <w:rsid w:val="004A536C"/>
    <w:rPr>
      <w:rFonts w:ascii="Garamond" w:hAnsi="Garamond" w:cs="FrankRuehl"/>
      <w:spacing w:val="10"/>
      <w:sz w:val="24"/>
      <w:szCs w:val="28"/>
    </w:rPr>
  </w:style>
  <w:style w:type="character" w:customStyle="1" w:styleId="a6">
    <w:name w:val="כותרת עליונה תו"/>
    <w:basedOn w:val="a0"/>
    <w:link w:val="a5"/>
    <w:uiPriority w:val="99"/>
    <w:rsid w:val="004A536C"/>
    <w:rPr>
      <w:rFonts w:ascii="Century" w:hAnsi="Century" w:cs="FrankRuehl"/>
      <w:spacing w:val="10"/>
      <w:szCs w:val="28"/>
    </w:rPr>
  </w:style>
  <w:style w:type="character" w:styleId="ab">
    <w:name w:val="annotation reference"/>
    <w:basedOn w:val="a0"/>
    <w:semiHidden/>
    <w:unhideWhenUsed/>
    <w:rsid w:val="00935107"/>
    <w:rPr>
      <w:sz w:val="16"/>
      <w:szCs w:val="16"/>
    </w:rPr>
  </w:style>
  <w:style w:type="paragraph" w:styleId="ac">
    <w:name w:val="annotation subject"/>
    <w:basedOn w:val="a7"/>
    <w:next w:val="a7"/>
    <w:link w:val="ad"/>
    <w:semiHidden/>
    <w:unhideWhenUsed/>
    <w:rsid w:val="00935107"/>
    <w:rPr>
      <w:rFonts w:ascii="Century" w:hAnsi="Century" w:cs="FrankRuehl"/>
      <w:b/>
      <w:bCs/>
      <w:spacing w:val="10"/>
    </w:rPr>
  </w:style>
  <w:style w:type="character" w:customStyle="1" w:styleId="ad">
    <w:name w:val="נושא הערה תו"/>
    <w:basedOn w:val="a8"/>
    <w:link w:val="ac"/>
    <w:semiHidden/>
    <w:rsid w:val="00935107"/>
    <w:rPr>
      <w:rFonts w:ascii="Century" w:hAnsi="Century" w:cs="FrankRuehl"/>
      <w:b/>
      <w:bCs/>
      <w:spacing w:val="10"/>
    </w:rPr>
  </w:style>
  <w:style w:type="paragraph" w:styleId="ae">
    <w:name w:val="Balloon Text"/>
    <w:basedOn w:val="a"/>
    <w:link w:val="af"/>
    <w:semiHidden/>
    <w:unhideWhenUsed/>
    <w:rsid w:val="00935107"/>
    <w:pPr>
      <w:spacing w:line="240" w:lineRule="auto"/>
    </w:pPr>
    <w:rPr>
      <w:rFonts w:ascii="Tahoma" w:hAnsi="Tahoma" w:cs="Tahoma"/>
      <w:sz w:val="18"/>
      <w:szCs w:val="18"/>
    </w:rPr>
  </w:style>
  <w:style w:type="character" w:customStyle="1" w:styleId="af">
    <w:name w:val="טקסט בלונים תו"/>
    <w:basedOn w:val="a0"/>
    <w:link w:val="ae"/>
    <w:semiHidden/>
    <w:rsid w:val="00935107"/>
    <w:rPr>
      <w:rFonts w:ascii="Tahoma" w:hAnsi="Tahoma" w:cs="Tahoma"/>
      <w:spacing w:val="1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72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96139-87C9-4BD3-9D98-E736F71AF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285</Words>
  <Characters>1428</Characters>
  <Application>Microsoft Office Word</Application>
  <DocSecurity>0</DocSecurity>
  <Lines>11</Lines>
  <Paragraphs>3</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 שפראך</dc:creator>
  <cp:keywords/>
  <dc:description/>
  <cp:lastModifiedBy>מוטי גולן</cp:lastModifiedBy>
  <cp:revision>3</cp:revision>
  <cp:lastPrinted>2023-07-11T08:40:00Z</cp:lastPrinted>
  <dcterms:created xsi:type="dcterms:W3CDTF">2023-07-13T04:58:00Z</dcterms:created>
  <dcterms:modified xsi:type="dcterms:W3CDTF">2023-07-13T05:00:00Z</dcterms:modified>
</cp:coreProperties>
</file>